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E3D06" w14:textId="77777777" w:rsidR="00BB2D93" w:rsidRDefault="00756557" w:rsidP="007B2079">
      <w:pPr>
        <w:pStyle w:val="Heading1"/>
      </w:pPr>
      <w:bookmarkStart w:id="0" w:name="_Hlk214015640"/>
      <w:r w:rsidRPr="007B2079">
        <w:t xml:space="preserve">PCI Kieler, LLC. V. Department of Revenue, </w:t>
      </w:r>
    </w:p>
    <w:p w14:paraId="2B16FAD8" w14:textId="12CA4E65" w:rsidR="00D15944" w:rsidRPr="007B2079" w:rsidRDefault="00756557" w:rsidP="007B2079">
      <w:pPr>
        <w:pStyle w:val="Heading1"/>
      </w:pPr>
      <w:r w:rsidRPr="007B2079">
        <w:t>B.T.A. Docket No.</w:t>
      </w:r>
      <w:r w:rsidR="004275C0" w:rsidRPr="007B2079">
        <w:t xml:space="preserve"> </w:t>
      </w:r>
      <w:r w:rsidR="005A647B" w:rsidRPr="007B2079">
        <w:t>C08648A</w:t>
      </w:r>
    </w:p>
    <w:p w14:paraId="5C7A2AF1" w14:textId="40A10C24" w:rsidR="00D15944" w:rsidRPr="00965683" w:rsidRDefault="00756557" w:rsidP="007B2079">
      <w:pPr>
        <w:pStyle w:val="Heading2"/>
      </w:pPr>
      <w:r w:rsidRPr="00965683">
        <w:t>Judgment with Written Reasons</w:t>
      </w:r>
    </w:p>
    <w:p w14:paraId="7F5ED95F" w14:textId="115CCEB9" w:rsidR="005A647B" w:rsidRPr="00965683" w:rsidRDefault="00E034E1" w:rsidP="00615B68">
      <w:pPr>
        <w:jc w:val="left"/>
      </w:pPr>
      <w:r w:rsidRPr="00965683">
        <w:t xml:space="preserve">This matter came before the Board for hearing on </w:t>
      </w:r>
      <w:r w:rsidR="00DF66AD" w:rsidRPr="00965683">
        <w:t xml:space="preserve">the Exceptions of Prescription and Lack of Subject Matter Jurisdiction filed by the Department of Revenue, State of Louisiana (“Department”) </w:t>
      </w:r>
      <w:r w:rsidRPr="00965683">
        <w:t xml:space="preserve">on </w:t>
      </w:r>
      <w:r w:rsidR="005A647B" w:rsidRPr="00965683">
        <w:t xml:space="preserve">February 10, 2026. </w:t>
      </w:r>
    </w:p>
    <w:p w14:paraId="6EDBBD0E" w14:textId="76888C29" w:rsidR="005A647B" w:rsidRPr="00965683" w:rsidRDefault="00E034E1" w:rsidP="00615B68">
      <w:pPr>
        <w:jc w:val="left"/>
      </w:pPr>
      <w:r w:rsidRPr="00965683">
        <w:t>Presiding at the hearing were Chairman Francis J. “Jay” Lobrano</w:t>
      </w:r>
      <w:r w:rsidR="00DF66AD" w:rsidRPr="00965683">
        <w:t xml:space="preserve">, </w:t>
      </w:r>
      <w:r w:rsidRPr="00965683">
        <w:t>Vice-Chair Judge Lisa Woodruff-White</w:t>
      </w:r>
      <w:r w:rsidR="00DF66AD" w:rsidRPr="00965683">
        <w:t>, and Michael G. Gaffney</w:t>
      </w:r>
      <w:r w:rsidRPr="00965683">
        <w:t xml:space="preserve">. Appearing before the Board were </w:t>
      </w:r>
      <w:r w:rsidR="005A647B" w:rsidRPr="00965683">
        <w:t>Angelique Boyd</w:t>
      </w:r>
      <w:r w:rsidRPr="00965683">
        <w:t xml:space="preserve">, attorney for the </w:t>
      </w:r>
      <w:proofErr w:type="gramStart"/>
      <w:r w:rsidRPr="00965683">
        <w:t>Department</w:t>
      </w:r>
      <w:proofErr w:type="gramEnd"/>
      <w:r w:rsidRPr="00965683">
        <w:t xml:space="preserve"> and </w:t>
      </w:r>
      <w:r w:rsidR="00DF66AD" w:rsidRPr="00965683">
        <w:t xml:space="preserve">Dennis L. Warren, CPA for </w:t>
      </w:r>
      <w:r w:rsidR="005A647B" w:rsidRPr="00965683">
        <w:t>PCI K</w:t>
      </w:r>
      <w:r w:rsidR="00756557" w:rsidRPr="00965683">
        <w:t>ieler</w:t>
      </w:r>
      <w:r w:rsidR="005A647B" w:rsidRPr="00965683">
        <w:t>, LLC.</w:t>
      </w:r>
      <w:r w:rsidR="00DF66AD" w:rsidRPr="00965683">
        <w:t xml:space="preserve"> </w:t>
      </w:r>
      <w:r w:rsidRPr="00965683">
        <w:t xml:space="preserve">(“Taxpayer”). </w:t>
      </w:r>
    </w:p>
    <w:p w14:paraId="55CE38DD" w14:textId="74C619E1" w:rsidR="00E034E1" w:rsidRPr="00965683" w:rsidRDefault="00E034E1" w:rsidP="00615B68">
      <w:pPr>
        <w:jc w:val="left"/>
      </w:pPr>
      <w:r w:rsidRPr="00965683">
        <w:t xml:space="preserve">At the conclusion of the hearing, the Board took the matter under advisement. </w:t>
      </w:r>
      <w:bookmarkEnd w:id="0"/>
      <w:r w:rsidRPr="00965683">
        <w:t>In accordance with the attached Written Reasons</w:t>
      </w:r>
      <w:r w:rsidR="00882FE2" w:rsidRPr="00965683">
        <w:t xml:space="preserve"> for Judgment</w:t>
      </w:r>
      <w:r w:rsidRPr="00965683">
        <w:t>, the Board now renders the following Judgment:</w:t>
      </w:r>
    </w:p>
    <w:p w14:paraId="636863E7" w14:textId="30734981" w:rsidR="00E034E1" w:rsidRPr="00965683" w:rsidRDefault="00E034E1" w:rsidP="00615B68">
      <w:pPr>
        <w:jc w:val="left"/>
      </w:pPr>
      <w:r w:rsidRPr="00965683">
        <w:t>I</w:t>
      </w:r>
      <w:r w:rsidR="00756557" w:rsidRPr="00965683">
        <w:t>t</w:t>
      </w:r>
      <w:r w:rsidRPr="00965683">
        <w:t xml:space="preserve"> </w:t>
      </w:r>
      <w:r w:rsidR="00756557" w:rsidRPr="00965683">
        <w:t>is</w:t>
      </w:r>
      <w:r w:rsidRPr="00965683">
        <w:t xml:space="preserve"> </w:t>
      </w:r>
      <w:r w:rsidR="00756557" w:rsidRPr="00965683">
        <w:t>hereby</w:t>
      </w:r>
      <w:r w:rsidRPr="00965683">
        <w:t xml:space="preserve"> </w:t>
      </w:r>
      <w:r w:rsidR="00756557" w:rsidRPr="00965683">
        <w:t xml:space="preserve">Ordered, Adjudged, and Decreed </w:t>
      </w:r>
      <w:r w:rsidRPr="00965683">
        <w:t xml:space="preserve">that the </w:t>
      </w:r>
      <w:r w:rsidR="007C6F4D" w:rsidRPr="00965683">
        <w:t xml:space="preserve">Department’s Exception of Prescription is </w:t>
      </w:r>
      <w:r w:rsidR="00756557" w:rsidRPr="00965683">
        <w:t>D</w:t>
      </w:r>
      <w:r w:rsidR="005A647B" w:rsidRPr="00965683">
        <w:t xml:space="preserve">enied.  </w:t>
      </w:r>
    </w:p>
    <w:p w14:paraId="12392AB2" w14:textId="4A34C279" w:rsidR="004B3AE8" w:rsidRPr="00965683" w:rsidRDefault="00756557" w:rsidP="00615B68">
      <w:pPr>
        <w:jc w:val="left"/>
      </w:pPr>
      <w:r w:rsidRPr="00965683">
        <w:t xml:space="preserve">It is further Ordered, Adjudged, and Decreed </w:t>
      </w:r>
      <w:r w:rsidR="004B3AE8" w:rsidRPr="00965683">
        <w:t xml:space="preserve">that the Department’s Exception of Lack of Subject Matter Jurisdiction is </w:t>
      </w:r>
      <w:r w:rsidRPr="00965683">
        <w:t>D</w:t>
      </w:r>
      <w:r w:rsidR="005A647B" w:rsidRPr="00965683">
        <w:t xml:space="preserve">enied. </w:t>
      </w:r>
    </w:p>
    <w:p w14:paraId="36E281C2" w14:textId="651589BA" w:rsidR="00D15944" w:rsidRPr="007B2079" w:rsidRDefault="00E034E1" w:rsidP="007B2079">
      <w:pPr>
        <w:rPr>
          <w:b/>
          <w:bCs/>
        </w:rPr>
      </w:pPr>
      <w:r w:rsidRPr="007B2079">
        <w:rPr>
          <w:b/>
          <w:bCs/>
        </w:rPr>
        <w:t>Judgment rendered and signed at</w:t>
      </w:r>
      <w:r w:rsidR="007F4EF0" w:rsidRPr="007B2079">
        <w:rPr>
          <w:b/>
          <w:bCs/>
        </w:rPr>
        <w:t xml:space="preserve"> </w:t>
      </w:r>
      <w:r w:rsidR="004275C0" w:rsidRPr="007B2079">
        <w:rPr>
          <w:b/>
          <w:bCs/>
        </w:rPr>
        <w:t xml:space="preserve">Baton Rouge, Louisiana, this </w:t>
      </w:r>
      <w:r w:rsidR="00915D1E" w:rsidRPr="007B2079">
        <w:rPr>
          <w:b/>
          <w:bCs/>
        </w:rPr>
        <w:t>5</w:t>
      </w:r>
      <w:r w:rsidR="00915D1E" w:rsidRPr="007B2079">
        <w:rPr>
          <w:b/>
          <w:bCs/>
          <w:vertAlign w:val="superscript"/>
        </w:rPr>
        <w:t>th</w:t>
      </w:r>
      <w:r w:rsidR="00915D1E" w:rsidRPr="007B2079">
        <w:rPr>
          <w:b/>
          <w:bCs/>
        </w:rPr>
        <w:t xml:space="preserve"> day of </w:t>
      </w:r>
      <w:r w:rsidR="004B3AE8" w:rsidRPr="007B2079">
        <w:rPr>
          <w:b/>
          <w:bCs/>
        </w:rPr>
        <w:t>March</w:t>
      </w:r>
      <w:r w:rsidR="00915D1E" w:rsidRPr="007B2079">
        <w:rPr>
          <w:b/>
          <w:bCs/>
        </w:rPr>
        <w:t xml:space="preserve"> </w:t>
      </w:r>
      <w:r w:rsidR="00604112" w:rsidRPr="007B2079">
        <w:rPr>
          <w:b/>
          <w:bCs/>
        </w:rPr>
        <w:t>202</w:t>
      </w:r>
      <w:r w:rsidR="00DF66AD" w:rsidRPr="007B2079">
        <w:rPr>
          <w:b/>
          <w:bCs/>
        </w:rPr>
        <w:t>6</w:t>
      </w:r>
      <w:r w:rsidR="004275C0" w:rsidRPr="007B2079">
        <w:rPr>
          <w:b/>
          <w:bCs/>
        </w:rPr>
        <w:t>.</w:t>
      </w:r>
    </w:p>
    <w:p w14:paraId="2A98B23D" w14:textId="19157119" w:rsidR="00E034E1" w:rsidRPr="007B2079" w:rsidRDefault="00E034E1" w:rsidP="007B2079">
      <w:pPr>
        <w:rPr>
          <w:b/>
          <w:bCs/>
        </w:rPr>
      </w:pPr>
      <w:r w:rsidRPr="007B2079">
        <w:rPr>
          <w:b/>
          <w:bCs/>
        </w:rPr>
        <w:t>F</w:t>
      </w:r>
      <w:r w:rsidR="00756557" w:rsidRPr="007B2079">
        <w:rPr>
          <w:b/>
          <w:bCs/>
        </w:rPr>
        <w:t>or</w:t>
      </w:r>
      <w:r w:rsidRPr="007B2079">
        <w:rPr>
          <w:b/>
          <w:bCs/>
        </w:rPr>
        <w:t xml:space="preserve"> </w:t>
      </w:r>
      <w:r w:rsidR="00756557" w:rsidRPr="007B2079">
        <w:rPr>
          <w:b/>
          <w:bCs/>
        </w:rPr>
        <w:t xml:space="preserve">the </w:t>
      </w:r>
      <w:r w:rsidRPr="007B2079">
        <w:rPr>
          <w:b/>
          <w:bCs/>
        </w:rPr>
        <w:t>B</w:t>
      </w:r>
      <w:r w:rsidR="00756557" w:rsidRPr="007B2079">
        <w:rPr>
          <w:b/>
          <w:bCs/>
        </w:rPr>
        <w:t>oard</w:t>
      </w:r>
      <w:r w:rsidRPr="007B2079">
        <w:rPr>
          <w:b/>
          <w:bCs/>
        </w:rPr>
        <w:t>:</w:t>
      </w:r>
    </w:p>
    <w:p w14:paraId="159966F8" w14:textId="18363EDD" w:rsidR="00672F8A" w:rsidRPr="007B2079" w:rsidRDefault="005A647B" w:rsidP="007B2079">
      <w:pPr>
        <w:rPr>
          <w:b/>
          <w:bCs/>
        </w:rPr>
      </w:pPr>
      <w:bookmarkStart w:id="1" w:name="_Hlk223375984"/>
      <w:r w:rsidRPr="007B2079">
        <w:rPr>
          <w:b/>
          <w:bCs/>
        </w:rPr>
        <w:t>Lisa Woodruff-White, Vice</w:t>
      </w:r>
      <w:r w:rsidR="00672F8A" w:rsidRPr="007B2079">
        <w:rPr>
          <w:b/>
          <w:bCs/>
        </w:rPr>
        <w:t xml:space="preserve"> Chair</w:t>
      </w:r>
    </w:p>
    <w:bookmarkEnd w:id="1"/>
    <w:p w14:paraId="04BBDED4" w14:textId="1B536917" w:rsidR="00672F8A" w:rsidRPr="007B2079" w:rsidRDefault="00672F8A" w:rsidP="007B2079">
      <w:pPr>
        <w:rPr>
          <w:b/>
          <w:bCs/>
        </w:rPr>
      </w:pPr>
      <w:r w:rsidRPr="007B2079">
        <w:rPr>
          <w:b/>
          <w:bCs/>
        </w:rPr>
        <w:t>Louisiana Board of Tax Appeals</w:t>
      </w:r>
    </w:p>
    <w:p w14:paraId="512D232D" w14:textId="77777777" w:rsidR="00E034E1" w:rsidRPr="00965683" w:rsidRDefault="00E034E1" w:rsidP="007B2079">
      <w:pPr>
        <w:sectPr w:rsidR="00E034E1" w:rsidRPr="00965683" w:rsidSect="00D15944">
          <w:footerReference w:type="default" r:id="rId7"/>
          <w:pgSz w:w="12240" w:h="20160" w:code="5"/>
          <w:pgMar w:top="2160" w:right="1440" w:bottom="1440" w:left="1440" w:header="720" w:footer="720" w:gutter="0"/>
          <w:cols w:space="720"/>
          <w:docGrid w:linePitch="360"/>
        </w:sectPr>
      </w:pPr>
    </w:p>
    <w:p w14:paraId="44686D7C" w14:textId="0ED96D61" w:rsidR="00E034E1" w:rsidRPr="00965683" w:rsidRDefault="00756557" w:rsidP="007B2079">
      <w:pPr>
        <w:pStyle w:val="Heading2"/>
      </w:pPr>
      <w:r w:rsidRPr="00965683">
        <w:lastRenderedPageBreak/>
        <w:t>Written Reasons for Judgment</w:t>
      </w:r>
    </w:p>
    <w:p w14:paraId="38E1B457" w14:textId="77777777" w:rsidR="005A647B" w:rsidRPr="00965683" w:rsidRDefault="00882FE2" w:rsidP="00615B68">
      <w:pPr>
        <w:jc w:val="left"/>
      </w:pPr>
      <w:r w:rsidRPr="00965683">
        <w:t xml:space="preserve">This matter came before the Board for hearing on the Exceptions of Prescription and Lack of Subject Matter Jurisdiction filed by the Department of Revenue, State of Louisiana (“Department”) on </w:t>
      </w:r>
      <w:r w:rsidR="005A647B" w:rsidRPr="00965683">
        <w:t xml:space="preserve">February 10, 2026. </w:t>
      </w:r>
    </w:p>
    <w:p w14:paraId="586BC7CD" w14:textId="06518262" w:rsidR="005A647B" w:rsidRPr="00965683" w:rsidRDefault="00882FE2" w:rsidP="00615B68">
      <w:pPr>
        <w:jc w:val="left"/>
      </w:pPr>
      <w:r w:rsidRPr="00965683">
        <w:t>Presiding at the hearing were Chairman Francis J. “Jay” Lobrano, Vice-Chair Judge Lisa Woodruff-White, and Michael G. Gaffney. Appearing before the Board w</w:t>
      </w:r>
      <w:r w:rsidR="005B7CFE" w:rsidRPr="00965683">
        <w:t>as</w:t>
      </w:r>
      <w:r w:rsidRPr="00965683">
        <w:t xml:space="preserve"> </w:t>
      </w:r>
      <w:r w:rsidR="005A647B" w:rsidRPr="00965683">
        <w:t>Angelique Boyd</w:t>
      </w:r>
      <w:r w:rsidRPr="00965683">
        <w:t>, attorney for the Department</w:t>
      </w:r>
      <w:r w:rsidR="005A647B" w:rsidRPr="00965683">
        <w:t xml:space="preserve">. The Taxpayer failed to appear.  </w:t>
      </w:r>
    </w:p>
    <w:p w14:paraId="753D17D8" w14:textId="2CE7EC94" w:rsidR="00E034E1" w:rsidRPr="00965683" w:rsidRDefault="00DF66AD" w:rsidP="00615B68">
      <w:pPr>
        <w:jc w:val="left"/>
      </w:pPr>
      <w:r w:rsidRPr="00965683">
        <w:t xml:space="preserve">At the conclusion of the hearing, the Board took the matter under advisement. </w:t>
      </w:r>
      <w:r w:rsidR="00E034E1" w:rsidRPr="00965683">
        <w:t>The Board now issues the following Written Reasons for Judgment.</w:t>
      </w:r>
    </w:p>
    <w:p w14:paraId="43C8A597" w14:textId="77777777" w:rsidR="00340241" w:rsidRPr="00965683" w:rsidRDefault="00340241" w:rsidP="007B2079">
      <w:pPr>
        <w:pStyle w:val="Heading3"/>
      </w:pPr>
      <w:r w:rsidRPr="00965683">
        <w:t>Background</w:t>
      </w:r>
    </w:p>
    <w:p w14:paraId="0CDAD09D" w14:textId="7C83AE67" w:rsidR="00CB3889" w:rsidRPr="00965683" w:rsidRDefault="00756557" w:rsidP="00615B68">
      <w:pPr>
        <w:jc w:val="left"/>
        <w:rPr>
          <w:bCs/>
        </w:rPr>
      </w:pPr>
      <w:r w:rsidRPr="00965683">
        <w:t>The Department issued a Notice of Assessment and Notice of Right to Appeal</w:t>
      </w:r>
      <w:r w:rsidR="00965683">
        <w:t xml:space="preserve"> </w:t>
      </w:r>
      <w:r w:rsidRPr="00965683">
        <w:t>(“Assessment”) by certified mail to the Taxpayer on April 9, 2025. The Taxpayer filed</w:t>
      </w:r>
      <w:r w:rsidRPr="00965683">
        <w:t xml:space="preserve"> </w:t>
      </w:r>
      <w:r w:rsidRPr="00965683">
        <w:t>an appeal with this Board on June 10, 2025. The envelope in which the Appeal was</w:t>
      </w:r>
      <w:r w:rsidRPr="00965683">
        <w:t xml:space="preserve"> </w:t>
      </w:r>
      <w:r w:rsidRPr="00965683">
        <w:t xml:space="preserve">delivered contained a Pitney Bowles date stamp of May 15, 2025; however, </w:t>
      </w:r>
      <w:proofErr w:type="gramStart"/>
      <w:r w:rsidRPr="00965683">
        <w:t>the</w:t>
      </w:r>
      <w:r w:rsidRPr="00965683">
        <w:t xml:space="preserve"> </w:t>
      </w:r>
      <w:r w:rsidRPr="00965683">
        <w:t>envelope was</w:t>
      </w:r>
      <w:proofErr w:type="gramEnd"/>
      <w:r w:rsidRPr="00965683">
        <w:t xml:space="preserve"> date stamped </w:t>
      </w:r>
      <w:proofErr w:type="gramStart"/>
      <w:r w:rsidRPr="00965683">
        <w:t>at</w:t>
      </w:r>
      <w:proofErr w:type="gramEnd"/>
      <w:r w:rsidRPr="00965683">
        <w:t xml:space="preserve"> the Board on June 10, 2025. It is not disputed that</w:t>
      </w:r>
      <w:r w:rsidR="00965683">
        <w:t xml:space="preserve"> </w:t>
      </w:r>
      <w:r w:rsidRPr="00965683">
        <w:t>the filing date of the Appeal was June 10, 2025</w:t>
      </w:r>
      <w:r w:rsidR="002872BA" w:rsidRPr="00965683">
        <w:t xml:space="preserve">. </w:t>
      </w:r>
    </w:p>
    <w:p w14:paraId="31225618" w14:textId="77777777" w:rsidR="006832CE" w:rsidRPr="00965683" w:rsidRDefault="006832CE" w:rsidP="007B2079">
      <w:pPr>
        <w:pStyle w:val="Heading3"/>
      </w:pPr>
      <w:r w:rsidRPr="00965683">
        <w:t>Analysis</w:t>
      </w:r>
    </w:p>
    <w:p w14:paraId="0D4DAF83" w14:textId="0E54EB99" w:rsidR="001C0357" w:rsidRPr="00965683" w:rsidRDefault="006832CE" w:rsidP="00615B68">
      <w:pPr>
        <w:jc w:val="left"/>
      </w:pPr>
      <w:r w:rsidRPr="00965683">
        <w:t xml:space="preserve">The </w:t>
      </w:r>
      <w:proofErr w:type="gramStart"/>
      <w:r w:rsidR="005611E8" w:rsidRPr="00965683">
        <w:t>time period</w:t>
      </w:r>
      <w:proofErr w:type="gramEnd"/>
      <w:r w:rsidR="005611E8" w:rsidRPr="00965683">
        <w:t xml:space="preserve"> for </w:t>
      </w:r>
      <w:r w:rsidRPr="00965683">
        <w:t xml:space="preserve">filing </w:t>
      </w:r>
      <w:r w:rsidR="009619A7" w:rsidRPr="00965683">
        <w:t xml:space="preserve">an Appeal with the board </w:t>
      </w:r>
      <w:r w:rsidRPr="00965683">
        <w:t>is provided for by La. R.S. 47:1</w:t>
      </w:r>
      <w:r w:rsidR="009619A7" w:rsidRPr="00965683">
        <w:t>565 (A) and (B)</w:t>
      </w:r>
      <w:r w:rsidRPr="00965683">
        <w:t>, which states:</w:t>
      </w:r>
    </w:p>
    <w:p w14:paraId="67AAD2AA" w14:textId="77777777" w:rsidR="009619A7" w:rsidRPr="007B2079" w:rsidRDefault="009619A7" w:rsidP="007B2079">
      <w:pPr>
        <w:pStyle w:val="Quote"/>
      </w:pPr>
      <w:r w:rsidRPr="007B2079">
        <w:lastRenderedPageBreak/>
        <w:t>A. Having assessed the amount determined to be due, the secretary shall send a notice by certified mail to the taxpayer against whom the assessment is imposed at the address given in the last report filed by the taxpayer, or to any address obtainable from any private entity which will provide such address free of charge or from any federal, state, or local government entity, including but not limited to the United States Postal Service or from United States Postal Service certified software. However, if the notice is to be mailed to an address outside the United States, the secretary shall send notice by First-Class Mail International with Electronic United States Postal Service Delivery Confirmation. If no report has been timely filed, the secretary shall send a notice by certified mail to the taxpayer against whom the assessment is imposed at any address obtainable from any private entity which will provide such address free of charge or from any federal, state, or local government entity, including but not limited to the United States Postal Service or from United States Postal service certified software. However, if the notice is to be mailed to an address outside the United States, the secretary shall send notice by First-Class Mail International with Electronic United States Postal Service Delivery Confirmation. This notice shall inform the taxpayer of the assessment and that he has sixty calendar days from the date of the notice to either pay the amount of the assessment or to appeal to the Board of Tax Appeals for a redetermination of the assessment. All such appeals shall be made in accordance with the provisions of Subtitle II of this Title.</w:t>
      </w:r>
    </w:p>
    <w:p w14:paraId="09820092" w14:textId="5B98A513" w:rsidR="009619A7" w:rsidRPr="007B2079" w:rsidRDefault="009619A7" w:rsidP="007B2079">
      <w:pPr>
        <w:pStyle w:val="Quote"/>
      </w:pPr>
      <w:r w:rsidRPr="007B2079">
        <w:t xml:space="preserve">B. If the taxpayer has not filed an appeal with the Board of Tax Appeals within the </w:t>
      </w:r>
      <w:proofErr w:type="gramStart"/>
      <w:r w:rsidRPr="007B2079">
        <w:t>sixty day</w:t>
      </w:r>
      <w:proofErr w:type="gramEnd"/>
      <w:r w:rsidRPr="007B2079">
        <w:t xml:space="preserve"> period, the assessment shall be final and shall be collectible by </w:t>
      </w:r>
      <w:proofErr w:type="gramStart"/>
      <w:r w:rsidRPr="007B2079">
        <w:t>distraint</w:t>
      </w:r>
      <w:proofErr w:type="gramEnd"/>
      <w:r w:rsidRPr="007B2079">
        <w:t xml:space="preserve"> and sale as hereinafter provided. If an appeal for a redetermination of the assessment has been filed, the assessment shall not be collectible by distraint and sale until such time as the assessment has been </w:t>
      </w:r>
      <w:r w:rsidRPr="007B2079">
        <w:lastRenderedPageBreak/>
        <w:t>redetermined or affirmed by the Board of Tax Appeals or the court which last reviews the matter.</w:t>
      </w:r>
    </w:p>
    <w:p w14:paraId="572C268A" w14:textId="31E570F2" w:rsidR="002872BA" w:rsidRPr="007B2079" w:rsidRDefault="009619A7" w:rsidP="00615B68">
      <w:pPr>
        <w:jc w:val="left"/>
      </w:pPr>
      <w:r w:rsidRPr="007B2079">
        <w:t xml:space="preserve">As previously noted, the date of the Assessment was April 9, 2025.  The </w:t>
      </w:r>
      <w:r w:rsidR="006C77B0" w:rsidRPr="007B2079">
        <w:t xml:space="preserve">sixty calendar day </w:t>
      </w:r>
      <w:r w:rsidR="005B7CFE" w:rsidRPr="007B2079">
        <w:t>period</w:t>
      </w:r>
      <w:r w:rsidR="006C77B0" w:rsidRPr="007B2079">
        <w:t xml:space="preserve"> from the date of the Assessment </w:t>
      </w:r>
      <w:r w:rsidRPr="007B2079">
        <w:t xml:space="preserve">date was June 8, 2025. The </w:t>
      </w:r>
      <w:r w:rsidR="006C77B0" w:rsidRPr="007B2079">
        <w:t>Department</w:t>
      </w:r>
      <w:r w:rsidRPr="007B2079">
        <w:t xml:space="preserve"> concedes that June 8, 2025</w:t>
      </w:r>
      <w:r w:rsidR="005B7CFE" w:rsidRPr="007B2079">
        <w:t>,</w:t>
      </w:r>
      <w:r w:rsidRPr="007B2079">
        <w:t xml:space="preserve"> was a Sunday so the </w:t>
      </w:r>
      <w:r w:rsidR="005B7CFE" w:rsidRPr="007B2079">
        <w:t>sixty</w:t>
      </w:r>
      <w:r w:rsidR="006C77B0" w:rsidRPr="007B2079">
        <w:t xml:space="preserve"> calendar day period from the date of the Assessment runs until the end of the next day that is not a legal holiday, which was June 9, 2025. </w:t>
      </w:r>
    </w:p>
    <w:p w14:paraId="06737F17" w14:textId="1C17464E" w:rsidR="006C77B0" w:rsidRPr="00965683" w:rsidRDefault="006C77B0" w:rsidP="00615B68">
      <w:pPr>
        <w:jc w:val="left"/>
      </w:pPr>
      <w:r w:rsidRPr="00965683">
        <w:t xml:space="preserve">The computation of time is governed by </w:t>
      </w:r>
      <w:r w:rsidR="007975D6" w:rsidRPr="00965683">
        <w:t>LSA-C.</w:t>
      </w:r>
      <w:proofErr w:type="gramStart"/>
      <w:r w:rsidR="007975D6" w:rsidRPr="00965683">
        <w:t>C.P</w:t>
      </w:r>
      <w:proofErr w:type="gramEnd"/>
      <w:r w:rsidR="007975D6" w:rsidRPr="00965683">
        <w:t xml:space="preserve"> </w:t>
      </w:r>
      <w:proofErr w:type="gramStart"/>
      <w:r w:rsidR="007975D6" w:rsidRPr="00965683">
        <w:t xml:space="preserve">article </w:t>
      </w:r>
      <w:r w:rsidRPr="00965683">
        <w:t xml:space="preserve"> 5059</w:t>
      </w:r>
      <w:proofErr w:type="gramEnd"/>
      <w:r w:rsidRPr="00965683">
        <w:t xml:space="preserve"> which state</w:t>
      </w:r>
      <w:r w:rsidR="005B7CFE" w:rsidRPr="00965683">
        <w:t>s</w:t>
      </w:r>
      <w:r w:rsidRPr="00965683">
        <w:t xml:space="preserve"> in pertinent part: </w:t>
      </w:r>
    </w:p>
    <w:p w14:paraId="1024E97A" w14:textId="5E996DED" w:rsidR="006C77B0" w:rsidRPr="00965683" w:rsidRDefault="006C77B0" w:rsidP="007B2079">
      <w:pPr>
        <w:pStyle w:val="Quote"/>
      </w:pPr>
      <w:r w:rsidRPr="00965683">
        <w:t xml:space="preserve">A. In computing </w:t>
      </w:r>
      <w:proofErr w:type="gramStart"/>
      <w:r w:rsidRPr="00965683">
        <w:t>a period of time</w:t>
      </w:r>
      <w:proofErr w:type="gramEnd"/>
      <w:r w:rsidRPr="00965683">
        <w:t xml:space="preserve"> allowed or prescribed by law or by order of court, the date of the act, event, or default from which the period </w:t>
      </w:r>
      <w:proofErr w:type="gramStart"/>
      <w:r w:rsidRPr="00965683">
        <w:t>begins to run</w:t>
      </w:r>
      <w:proofErr w:type="gramEnd"/>
      <w:r w:rsidRPr="00965683">
        <w:t xml:space="preserve"> is not included. The last day of the period is included, unless it is a legal holiday, in which event the period runs until the end of the next day that is not a legal holiday.</w:t>
      </w:r>
    </w:p>
    <w:p w14:paraId="731DB313" w14:textId="1E117393" w:rsidR="006C77B0" w:rsidRPr="00965683" w:rsidRDefault="006C77B0" w:rsidP="007B2079">
      <w:pPr>
        <w:pStyle w:val="Quote"/>
      </w:pPr>
      <w:r w:rsidRPr="00965683">
        <w:t xml:space="preserve">B. </w:t>
      </w:r>
      <w:proofErr w:type="gramStart"/>
      <w:r w:rsidRPr="00965683">
        <w:t xml:space="preserve">The </w:t>
      </w:r>
      <w:r w:rsidR="00423061" w:rsidRPr="00965683">
        <w:t>”</w:t>
      </w:r>
      <w:r w:rsidRPr="00965683">
        <w:t>next</w:t>
      </w:r>
      <w:proofErr w:type="gramEnd"/>
      <w:r w:rsidRPr="00965683">
        <w:t xml:space="preserve"> </w:t>
      </w:r>
      <w:proofErr w:type="gramStart"/>
      <w:r w:rsidRPr="00965683">
        <w:t>day</w:t>
      </w:r>
      <w:r w:rsidR="00423061" w:rsidRPr="00965683">
        <w:t xml:space="preserve">“ </w:t>
      </w:r>
      <w:r w:rsidRPr="00965683">
        <w:t>as</w:t>
      </w:r>
      <w:proofErr w:type="gramEnd"/>
      <w:r w:rsidRPr="00965683">
        <w:t xml:space="preserve"> set forth in Paragraph A of this Article means the subsequent calendar day that is not a legal holiday following a legal holiday.</w:t>
      </w:r>
    </w:p>
    <w:p w14:paraId="2A741370" w14:textId="4A2AC7E9" w:rsidR="002872BA" w:rsidRPr="00965683" w:rsidRDefault="005B7CFE" w:rsidP="00615B68">
      <w:pPr>
        <w:jc w:val="left"/>
      </w:pPr>
      <w:r w:rsidRPr="00965683">
        <w:t>The Department’s position is that Petition was untimely based on the receipt of the Petition at the Board on June 10, 2025.</w:t>
      </w:r>
      <w:r w:rsidR="00F60219" w:rsidRPr="00965683">
        <w:t xml:space="preserve"> The Department contends that the Petition is prescribed, and that the effect of prescription relieves the Board of any subject matter jurisdiction over the Taxpayer’s cause of action.</w:t>
      </w:r>
      <w:r w:rsidRPr="00965683">
        <w:t xml:space="preserve"> The </w:t>
      </w:r>
      <w:r w:rsidR="0014519D" w:rsidRPr="00965683">
        <w:t xml:space="preserve">Department relies in part on </w:t>
      </w:r>
      <w:r w:rsidR="002872BA" w:rsidRPr="00965683">
        <w:t xml:space="preserve">the Board’s mailbox rule, </w:t>
      </w:r>
      <w:r w:rsidR="004F7FA1" w:rsidRPr="00965683">
        <w:t>in LAC 69:</w:t>
      </w:r>
      <w:r w:rsidR="00AD708D" w:rsidRPr="00965683">
        <w:t xml:space="preserve"> </w:t>
      </w:r>
      <w:r w:rsidR="004F7FA1" w:rsidRPr="00965683">
        <w:t xml:space="preserve">I.323, </w:t>
      </w:r>
      <w:r w:rsidR="002872BA" w:rsidRPr="00965683">
        <w:t>which states:</w:t>
      </w:r>
    </w:p>
    <w:p w14:paraId="0E883850" w14:textId="77777777" w:rsidR="002872BA" w:rsidRPr="00965683" w:rsidRDefault="002872BA" w:rsidP="007B2079">
      <w:pPr>
        <w:pStyle w:val="Quote"/>
      </w:pPr>
      <w:r w:rsidRPr="00965683">
        <w:t>A. Computation of the delays provided herein shall be as provided in LSA-C.</w:t>
      </w:r>
      <w:proofErr w:type="gramStart"/>
      <w:r w:rsidRPr="00965683">
        <w:t>C.P</w:t>
      </w:r>
      <w:proofErr w:type="gramEnd"/>
      <w:r w:rsidRPr="00965683">
        <w:t xml:space="preserve"> article 5059(A) and (B). A petition shall be deemed timely if filed with the board in the same manner and pursuant to the same provisions as those specified in section </w:t>
      </w:r>
      <w:r w:rsidRPr="00965683">
        <w:lastRenderedPageBreak/>
        <w:t>5(d) of article X of the rules of the Louisiana Supreme Court or if fax filed in strict compliance with §303, or if electronically filed in accordance with Chapter 5 of this Part.</w:t>
      </w:r>
    </w:p>
    <w:p w14:paraId="623468E5" w14:textId="63BFC82D" w:rsidR="002872BA" w:rsidRPr="00965683" w:rsidRDefault="002872BA" w:rsidP="007B2079">
      <w:pPr>
        <w:pStyle w:val="Quote"/>
      </w:pPr>
      <w:r w:rsidRPr="00965683">
        <w:t xml:space="preserve">B. </w:t>
      </w:r>
      <w:bookmarkStart w:id="2" w:name="_Hlk223382275"/>
      <w:r w:rsidRPr="00965683">
        <w:t xml:space="preserve">Therefore, a pleading properly mailed shall be deemed timely filed if mailed on or before the last day of the delay for filing. </w:t>
      </w:r>
      <w:r w:rsidRPr="00965683">
        <w:rPr>
          <w:b/>
          <w:bCs/>
          <w:i/>
          <w:iCs/>
        </w:rPr>
        <w:t>If the mailing is received by mail on the first legal day following the expiration of the delay, there shall be a rebuttable presumption that it was timely filed.</w:t>
      </w:r>
      <w:r w:rsidRPr="00965683">
        <w:t xml:space="preserve"> </w:t>
      </w:r>
      <w:bookmarkEnd w:id="2"/>
      <w:r w:rsidRPr="00965683">
        <w:t>In all cases where the presumption does not apply, the timeliness of the mailing shall be shown only by an official United States postmark or cancellation stamp or by official receipt or</w:t>
      </w:r>
      <w:r w:rsidR="007B2079">
        <w:t xml:space="preserve"> </w:t>
      </w:r>
      <w:r w:rsidRPr="00965683">
        <w:t xml:space="preserve">certificate of mailing from the United States Postal Service, or </w:t>
      </w:r>
      <w:proofErr w:type="spellStart"/>
      <w:r w:rsidRPr="00965683">
        <w:t>bonafide</w:t>
      </w:r>
      <w:proofErr w:type="spellEnd"/>
      <w:r w:rsidRPr="00965683">
        <w:t xml:space="preserve"> commercial mail services such as Federal Express or United Parcel Service, made at the time of mailing which indicates the date thereof. Any other date stamp, such as a private commercial mail meter stamp, or label from an automated postal center, shall not be used to establish timeliness.</w:t>
      </w:r>
    </w:p>
    <w:p w14:paraId="614F16C1" w14:textId="08642CC3" w:rsidR="002872BA" w:rsidRPr="00965683" w:rsidRDefault="002872BA" w:rsidP="007B2079">
      <w:pPr>
        <w:pStyle w:val="Quote"/>
      </w:pPr>
      <w:r w:rsidRPr="00965683">
        <w:t>C. Anything personally filed or forwarded by private delivery or courier service shall be deemed timely filed only if received on or before the last day of the delay for filing.</w:t>
      </w:r>
      <w:r w:rsidR="004F7FA1" w:rsidRPr="00965683">
        <w:t xml:space="preserve"> </w:t>
      </w:r>
      <w:r w:rsidR="00423061" w:rsidRPr="00965683">
        <w:t>(emphasis added).</w:t>
      </w:r>
    </w:p>
    <w:p w14:paraId="79DFA9FA" w14:textId="1401F113" w:rsidR="0014519D" w:rsidRPr="00965683" w:rsidRDefault="003E7534" w:rsidP="00615B68">
      <w:pPr>
        <w:jc w:val="left"/>
      </w:pPr>
      <w:r w:rsidRPr="00965683">
        <w:t xml:space="preserve">The </w:t>
      </w:r>
      <w:r w:rsidR="00AD708D" w:rsidRPr="00965683">
        <w:t>D</w:t>
      </w:r>
      <w:r w:rsidRPr="00965683">
        <w:t xml:space="preserve">epartment argues that the </w:t>
      </w:r>
      <w:r w:rsidR="00AD708D" w:rsidRPr="00965683">
        <w:t>T</w:t>
      </w:r>
      <w:r w:rsidRPr="00965683">
        <w:t>axpayer</w:t>
      </w:r>
      <w:r w:rsidR="00AD708D" w:rsidRPr="00965683">
        <w:t>’</w:t>
      </w:r>
      <w:r w:rsidRPr="00965683">
        <w:t xml:space="preserve">s </w:t>
      </w:r>
      <w:r w:rsidR="00AD708D" w:rsidRPr="00965683">
        <w:t>P</w:t>
      </w:r>
      <w:r w:rsidRPr="00965683">
        <w:t>etition though mailed</w:t>
      </w:r>
      <w:r w:rsidR="0014519D" w:rsidRPr="00965683">
        <w:t>,</w:t>
      </w:r>
      <w:r w:rsidRPr="00965683">
        <w:t xml:space="preserve"> was not labeled with any of the </w:t>
      </w:r>
      <w:r w:rsidR="00F60219" w:rsidRPr="00965683">
        <w:t>above-described</w:t>
      </w:r>
      <w:r w:rsidRPr="00965683">
        <w:t xml:space="preserve"> bona fide Commercial Services. The </w:t>
      </w:r>
      <w:r w:rsidR="00AD708D" w:rsidRPr="00965683">
        <w:t>D</w:t>
      </w:r>
      <w:r w:rsidRPr="00965683">
        <w:t xml:space="preserve">epartment acknowledges the postage on the envelope indicates the label is a Pitney Bowes product with the postage supplied by Pitney Bowes, a private commercial mail meter stamp. More importantly, the </w:t>
      </w:r>
      <w:r w:rsidR="00AD708D" w:rsidRPr="00965683">
        <w:t>D</w:t>
      </w:r>
      <w:r w:rsidRPr="00965683">
        <w:t>epartment notes the Pitney Bowes mail meter stamp is not an official United States postmark</w:t>
      </w:r>
      <w:r w:rsidR="00AD708D" w:rsidRPr="00965683">
        <w:t>. L</w:t>
      </w:r>
      <w:r w:rsidRPr="00965683">
        <w:t xml:space="preserve">astly, the </w:t>
      </w:r>
      <w:r w:rsidR="00AD708D" w:rsidRPr="00965683">
        <w:t>D</w:t>
      </w:r>
      <w:r w:rsidRPr="00965683">
        <w:t xml:space="preserve">epartment notes there is no need to consider the Pitney Bowes postage to determine if the petition was timely based on the </w:t>
      </w:r>
      <w:r w:rsidR="00AD708D" w:rsidRPr="00965683">
        <w:t xml:space="preserve">Pitney Bowes </w:t>
      </w:r>
      <w:r w:rsidRPr="00965683">
        <w:t>date</w:t>
      </w:r>
      <w:r w:rsidR="00AD708D" w:rsidRPr="00965683">
        <w:t xml:space="preserve"> stamp</w:t>
      </w:r>
      <w:r w:rsidRPr="00965683">
        <w:t xml:space="preserve">. </w:t>
      </w:r>
    </w:p>
    <w:p w14:paraId="3C0B21E8" w14:textId="298A18C8" w:rsidR="00415972" w:rsidRPr="00965683" w:rsidRDefault="003E7534" w:rsidP="00615B68">
      <w:pPr>
        <w:jc w:val="left"/>
      </w:pPr>
      <w:r w:rsidRPr="00965683">
        <w:lastRenderedPageBreak/>
        <w:t xml:space="preserve">While the </w:t>
      </w:r>
      <w:r w:rsidR="00AD708D" w:rsidRPr="00965683">
        <w:t>B</w:t>
      </w:r>
      <w:r w:rsidRPr="00965683">
        <w:t xml:space="preserve">oard agrees that the date stamp on the </w:t>
      </w:r>
      <w:r w:rsidR="00AD708D" w:rsidRPr="00965683">
        <w:t xml:space="preserve">Pitney Bowes </w:t>
      </w:r>
      <w:r w:rsidRPr="00965683">
        <w:t>postage</w:t>
      </w:r>
      <w:r w:rsidR="00AD708D" w:rsidRPr="00965683">
        <w:t xml:space="preserve"> date stamp of May 15</w:t>
      </w:r>
      <w:proofErr w:type="gramStart"/>
      <w:r w:rsidR="00AD708D" w:rsidRPr="00965683">
        <w:t xml:space="preserve"> 2025</w:t>
      </w:r>
      <w:proofErr w:type="gramEnd"/>
      <w:r w:rsidR="0014519D" w:rsidRPr="00965683">
        <w:t>,</w:t>
      </w:r>
      <w:r w:rsidR="00AD708D" w:rsidRPr="00965683">
        <w:t xml:space="preserve"> is not relevant to determine the mail date, the fact that the source of the postage was supplied by Pitney Bowes is relevant to the rebuttable presumption provided in LAC 69: I.323. More specifically, the relevant provision in section B is </w:t>
      </w:r>
      <w:r w:rsidR="002A3921" w:rsidRPr="00965683">
        <w:t>that a</w:t>
      </w:r>
      <w:r w:rsidR="00AD708D" w:rsidRPr="00965683">
        <w:rPr>
          <w:i/>
          <w:iCs/>
        </w:rPr>
        <w:t xml:space="preserve"> </w:t>
      </w:r>
      <w:r w:rsidR="00AD708D" w:rsidRPr="00965683">
        <w:t xml:space="preserve">pleading properly mailed shall be deemed timely filed if mailed on or before the last day of the delay for filing. </w:t>
      </w:r>
      <w:r w:rsidR="0014519D" w:rsidRPr="00965683">
        <w:t xml:space="preserve"> LAC </w:t>
      </w:r>
      <w:proofErr w:type="gramStart"/>
      <w:r w:rsidR="0014519D" w:rsidRPr="00965683">
        <w:t>69:I.</w:t>
      </w:r>
      <w:proofErr w:type="gramEnd"/>
      <w:r w:rsidR="0014519D" w:rsidRPr="00965683">
        <w:t>323 further provides if the mailing is received by mail on the first legal day following the expiration of the delay, there shall be a rebuttable presumption that it was timely filed</w:t>
      </w:r>
      <w:r w:rsidR="0014519D" w:rsidRPr="00965683">
        <w:rPr>
          <w:b/>
          <w:bCs/>
          <w:i/>
          <w:iCs/>
        </w:rPr>
        <w:t>.</w:t>
      </w:r>
      <w:r w:rsidR="00915D1E" w:rsidRPr="00965683">
        <w:rPr>
          <w:b/>
          <w:bCs/>
          <w:i/>
          <w:iCs/>
        </w:rPr>
        <w:t xml:space="preserve"> </w:t>
      </w:r>
      <w:r w:rsidR="0014519D" w:rsidRPr="00965683">
        <w:rPr>
          <w:b/>
          <w:bCs/>
          <w:i/>
          <w:iCs/>
        </w:rPr>
        <w:t xml:space="preserve"> </w:t>
      </w:r>
      <w:r w:rsidR="00E74772" w:rsidRPr="00965683">
        <w:t xml:space="preserve">As previously noted, </w:t>
      </w:r>
      <w:r w:rsidR="004F7FA1" w:rsidRPr="00965683">
        <w:t xml:space="preserve">the </w:t>
      </w:r>
      <w:r w:rsidR="002872BA" w:rsidRPr="00965683">
        <w:t xml:space="preserve">last day for filing would have been </w:t>
      </w:r>
      <w:r w:rsidR="004F7FA1" w:rsidRPr="00965683">
        <w:t>June 9, 2025</w:t>
      </w:r>
      <w:r w:rsidR="002A3921" w:rsidRPr="00965683">
        <w:t xml:space="preserve">. </w:t>
      </w:r>
      <w:r w:rsidR="00E74772" w:rsidRPr="00965683">
        <w:t xml:space="preserve">The </w:t>
      </w:r>
      <w:r w:rsidR="002872BA" w:rsidRPr="00965683">
        <w:t xml:space="preserve">Petition was received on </w:t>
      </w:r>
      <w:r w:rsidR="002A3921" w:rsidRPr="00965683">
        <w:t xml:space="preserve">June 10, 2025, which is the </w:t>
      </w:r>
      <w:r w:rsidR="002872BA" w:rsidRPr="00965683">
        <w:t xml:space="preserve">first </w:t>
      </w:r>
      <w:r w:rsidR="00E74772" w:rsidRPr="00965683">
        <w:t xml:space="preserve">legal </w:t>
      </w:r>
      <w:r w:rsidR="002872BA" w:rsidRPr="00965683">
        <w:t>day following the expiration of the delay for filing</w:t>
      </w:r>
      <w:r w:rsidR="002A3921" w:rsidRPr="00965683">
        <w:t xml:space="preserve">. </w:t>
      </w:r>
      <w:r w:rsidR="00E74772" w:rsidRPr="00965683">
        <w:t xml:space="preserve">As such, the Board finds there is a </w:t>
      </w:r>
      <w:r w:rsidR="002872BA" w:rsidRPr="00965683">
        <w:t xml:space="preserve">rebuttable presumption of timeliness </w:t>
      </w:r>
      <w:r w:rsidR="00E74772" w:rsidRPr="00965683">
        <w:t>highlighted above in LAC 69:</w:t>
      </w:r>
      <w:r w:rsidR="00AD708D" w:rsidRPr="00965683">
        <w:t xml:space="preserve"> </w:t>
      </w:r>
      <w:r w:rsidR="00E74772" w:rsidRPr="00965683">
        <w:t xml:space="preserve">I.323(B) </w:t>
      </w:r>
      <w:r w:rsidR="002872BA" w:rsidRPr="00965683">
        <w:t xml:space="preserve">applies. </w:t>
      </w:r>
      <w:r w:rsidR="00E74772" w:rsidRPr="00965683">
        <w:t xml:space="preserve">The </w:t>
      </w:r>
      <w:proofErr w:type="gramStart"/>
      <w:r w:rsidR="00E74772" w:rsidRPr="00965683">
        <w:t>Board further</w:t>
      </w:r>
      <w:proofErr w:type="gramEnd"/>
      <w:r w:rsidR="00E74772" w:rsidRPr="00965683">
        <w:t xml:space="preserve"> finds there is </w:t>
      </w:r>
      <w:proofErr w:type="spellStart"/>
      <w:proofErr w:type="gramStart"/>
      <w:r w:rsidR="00E74772" w:rsidRPr="00965683">
        <w:t>not</w:t>
      </w:r>
      <w:proofErr w:type="spellEnd"/>
      <w:proofErr w:type="gramEnd"/>
      <w:r w:rsidR="00E74772" w:rsidRPr="00965683">
        <w:t xml:space="preserve"> evidence to rebut the presumption that the filing was timely. </w:t>
      </w:r>
    </w:p>
    <w:p w14:paraId="333262A3" w14:textId="1B10C8AA" w:rsidR="002872BA" w:rsidRPr="00965683" w:rsidRDefault="00415972" w:rsidP="00615B68">
      <w:pPr>
        <w:jc w:val="left"/>
      </w:pPr>
      <w:r w:rsidRPr="00965683">
        <w:t xml:space="preserve">LAC 69: I.323(B) addresses mailings where </w:t>
      </w:r>
      <w:r w:rsidR="006E63D3" w:rsidRPr="00965683">
        <w:t xml:space="preserve">there is a </w:t>
      </w:r>
      <w:r w:rsidRPr="00965683">
        <w:t xml:space="preserve">presumption </w:t>
      </w:r>
      <w:r w:rsidR="006E63D3" w:rsidRPr="00965683">
        <w:t xml:space="preserve">of timeliness and </w:t>
      </w:r>
      <w:r w:rsidRPr="00965683">
        <w:t xml:space="preserve">cases where the presumption does not apply.  </w:t>
      </w:r>
      <w:r w:rsidR="00AD211D" w:rsidRPr="00965683">
        <w:t>Since the rebuttable presumption of timelines</w:t>
      </w:r>
      <w:r w:rsidR="00915D1E" w:rsidRPr="00965683">
        <w:t>s</w:t>
      </w:r>
      <w:r w:rsidR="00AD211D" w:rsidRPr="00965683">
        <w:t xml:space="preserve"> applies in this case, </w:t>
      </w:r>
      <w:r w:rsidR="002872BA" w:rsidRPr="00965683">
        <w:t xml:space="preserve">the </w:t>
      </w:r>
      <w:r w:rsidR="00B65639" w:rsidRPr="00965683">
        <w:t xml:space="preserve">provisions </w:t>
      </w:r>
      <w:r w:rsidR="002872BA" w:rsidRPr="00965683">
        <w:t>for the types of acceptable mailing proof in LAC 69:</w:t>
      </w:r>
      <w:r w:rsidR="00AD708D" w:rsidRPr="00965683">
        <w:t xml:space="preserve"> </w:t>
      </w:r>
      <w:r w:rsidR="002872BA" w:rsidRPr="00965683">
        <w:t xml:space="preserve">I.323(B) are </w:t>
      </w:r>
      <w:r w:rsidR="00AD211D" w:rsidRPr="00965683">
        <w:t>not applicable.  This Board finds the evidence establishes timely filing of the Petition based on LAC 69: I.323(B)</w:t>
      </w:r>
      <w:r w:rsidR="005B7CFE" w:rsidRPr="00965683">
        <w:t xml:space="preserve">. </w:t>
      </w:r>
      <w:r w:rsidR="00AD211D" w:rsidRPr="00965683">
        <w:t xml:space="preserve"> </w:t>
      </w:r>
    </w:p>
    <w:p w14:paraId="2B1F26F3" w14:textId="77777777" w:rsidR="002E4D1D" w:rsidRPr="00965683" w:rsidRDefault="002E4D1D" w:rsidP="007B2079">
      <w:pPr>
        <w:pStyle w:val="Heading3"/>
      </w:pPr>
      <w:r w:rsidRPr="00965683">
        <w:t>Conclusion</w:t>
      </w:r>
    </w:p>
    <w:p w14:paraId="65260F44" w14:textId="6670D308" w:rsidR="002E4D1D" w:rsidRPr="00965683" w:rsidRDefault="00E74772" w:rsidP="007B2079">
      <w:r w:rsidRPr="00965683">
        <w:rPr>
          <w:bCs/>
        </w:rPr>
        <w:t xml:space="preserve">Based on the determination that </w:t>
      </w:r>
      <w:r w:rsidR="003E7534" w:rsidRPr="00965683">
        <w:rPr>
          <w:bCs/>
        </w:rPr>
        <w:t xml:space="preserve">the </w:t>
      </w:r>
      <w:r w:rsidR="003E7534" w:rsidRPr="00965683">
        <w:rPr>
          <w:noProof/>
        </w:rPr>
        <w:t>Petition</w:t>
      </w:r>
      <w:r w:rsidRPr="00965683">
        <w:rPr>
          <w:noProof/>
        </w:rPr>
        <w:t xml:space="preserve"> was received on the </w:t>
      </w:r>
      <w:r w:rsidR="003E7534" w:rsidRPr="00965683">
        <w:t xml:space="preserve">first legal day following the expiration of the delay </w:t>
      </w:r>
      <w:proofErr w:type="gramStart"/>
      <w:r w:rsidR="003E7534" w:rsidRPr="00965683">
        <w:t>for</w:t>
      </w:r>
      <w:proofErr w:type="gramEnd"/>
      <w:r w:rsidR="003E7534" w:rsidRPr="00965683">
        <w:t xml:space="preserve"> </w:t>
      </w:r>
      <w:r w:rsidR="005B7CFE" w:rsidRPr="00965683">
        <w:t xml:space="preserve">filing, </w:t>
      </w:r>
      <w:r w:rsidR="005B7CFE" w:rsidRPr="00965683">
        <w:rPr>
          <w:noProof/>
        </w:rPr>
        <w:t>the</w:t>
      </w:r>
      <w:r w:rsidRPr="00965683">
        <w:rPr>
          <w:noProof/>
        </w:rPr>
        <w:t xml:space="preserve"> filing is presumed timely. Thus, the Exception </w:t>
      </w:r>
      <w:r w:rsidR="003E7534" w:rsidRPr="00965683">
        <w:rPr>
          <w:noProof/>
        </w:rPr>
        <w:t xml:space="preserve">is Prescription is denied. </w:t>
      </w:r>
      <w:r w:rsidR="00340F65" w:rsidRPr="00965683">
        <w:t xml:space="preserve">Finally, </w:t>
      </w:r>
      <w:r w:rsidR="00F60219" w:rsidRPr="00965683">
        <w:t xml:space="preserve">as the </w:t>
      </w:r>
      <w:r w:rsidR="00F60219" w:rsidRPr="00965683">
        <w:lastRenderedPageBreak/>
        <w:t xml:space="preserve">Department’s Exception of Lack of Subject Matter Jurisdiction is based on the purported untimeliness of the Petition, </w:t>
      </w:r>
      <w:r w:rsidR="003E7534" w:rsidRPr="00965683">
        <w:t xml:space="preserve">the </w:t>
      </w:r>
      <w:r w:rsidR="00340F65" w:rsidRPr="00965683">
        <w:t xml:space="preserve">Exception of Lack of Subject Matter </w:t>
      </w:r>
      <w:r w:rsidR="005B7CFE" w:rsidRPr="00965683">
        <w:t xml:space="preserve">Jurisdiction </w:t>
      </w:r>
      <w:r w:rsidR="00F60219" w:rsidRPr="00965683">
        <w:t>is also denied</w:t>
      </w:r>
      <w:r w:rsidR="00340F65" w:rsidRPr="00965683">
        <w:t>.</w:t>
      </w:r>
    </w:p>
    <w:p w14:paraId="18073496" w14:textId="7F396AB9" w:rsidR="00DF66AD" w:rsidRPr="007B2079" w:rsidRDefault="00DF66AD" w:rsidP="007B2079">
      <w:pPr>
        <w:rPr>
          <w:b/>
          <w:bCs/>
        </w:rPr>
      </w:pPr>
      <w:r w:rsidRPr="007B2079">
        <w:rPr>
          <w:b/>
          <w:bCs/>
        </w:rPr>
        <w:t xml:space="preserve">Signed at Baton Rouge, Louisiana, this </w:t>
      </w:r>
      <w:r w:rsidR="00915D1E" w:rsidRPr="007B2079">
        <w:rPr>
          <w:b/>
          <w:bCs/>
        </w:rPr>
        <w:t>5</w:t>
      </w:r>
      <w:r w:rsidR="00915D1E" w:rsidRPr="007B2079">
        <w:rPr>
          <w:b/>
          <w:bCs/>
          <w:vertAlign w:val="superscript"/>
        </w:rPr>
        <w:t>th</w:t>
      </w:r>
      <w:r w:rsidR="00915D1E" w:rsidRPr="007B2079">
        <w:rPr>
          <w:b/>
          <w:bCs/>
        </w:rPr>
        <w:t xml:space="preserve"> day of </w:t>
      </w:r>
      <w:r w:rsidR="00C35C41" w:rsidRPr="007B2079">
        <w:rPr>
          <w:b/>
          <w:bCs/>
        </w:rPr>
        <w:t>March</w:t>
      </w:r>
      <w:r w:rsidRPr="007B2079">
        <w:rPr>
          <w:b/>
          <w:bCs/>
        </w:rPr>
        <w:t xml:space="preserve"> 2026.</w:t>
      </w:r>
    </w:p>
    <w:p w14:paraId="06365CC5" w14:textId="77777777" w:rsidR="00756557" w:rsidRPr="007B2079" w:rsidRDefault="00756557" w:rsidP="007B2079">
      <w:pPr>
        <w:rPr>
          <w:b/>
          <w:bCs/>
        </w:rPr>
      </w:pPr>
      <w:r w:rsidRPr="007B2079">
        <w:rPr>
          <w:b/>
          <w:bCs/>
        </w:rPr>
        <w:t>For the Board:</w:t>
      </w:r>
    </w:p>
    <w:p w14:paraId="6E91AE7B" w14:textId="62922194" w:rsidR="00756557" w:rsidRPr="007B2079" w:rsidRDefault="00756557" w:rsidP="007B2079">
      <w:pPr>
        <w:rPr>
          <w:b/>
          <w:bCs/>
        </w:rPr>
      </w:pPr>
      <w:r w:rsidRPr="007B2079">
        <w:rPr>
          <w:b/>
          <w:bCs/>
        </w:rPr>
        <w:t>Lisa Woodruff-White, Vice Chair</w:t>
      </w:r>
    </w:p>
    <w:p w14:paraId="65DF985F" w14:textId="77777777" w:rsidR="00756557" w:rsidRPr="007B2079" w:rsidRDefault="00756557" w:rsidP="007B2079">
      <w:pPr>
        <w:rPr>
          <w:b/>
          <w:bCs/>
        </w:rPr>
      </w:pPr>
      <w:r w:rsidRPr="007B2079">
        <w:rPr>
          <w:b/>
          <w:bCs/>
        </w:rPr>
        <w:t>Louisiana Board of Tax Appeals</w:t>
      </w:r>
    </w:p>
    <w:sectPr w:rsidR="00756557" w:rsidRPr="007B2079" w:rsidSect="003243FE">
      <w:pgSz w:w="12240" w:h="20160" w:code="5"/>
      <w:pgMar w:top="21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DE1E" w14:textId="77777777" w:rsidR="003A4056" w:rsidRDefault="003A4056" w:rsidP="007B2079">
      <w:r>
        <w:separator/>
      </w:r>
    </w:p>
  </w:endnote>
  <w:endnote w:type="continuationSeparator" w:id="0">
    <w:p w14:paraId="15123FBF" w14:textId="77777777" w:rsidR="003A4056" w:rsidRDefault="003A4056" w:rsidP="007B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B191" w14:textId="77777777" w:rsidR="004761EC" w:rsidRPr="007B2079" w:rsidRDefault="00E034E1" w:rsidP="007B2079">
    <w:pPr>
      <w:pStyle w:val="Footer"/>
      <w:spacing w:after="0" w:line="240" w:lineRule="auto"/>
      <w:ind w:firstLine="0"/>
      <w:jc w:val="center"/>
      <w:rPr>
        <w:sz w:val="24"/>
        <w:szCs w:val="24"/>
      </w:rPr>
    </w:pPr>
    <w:r w:rsidRPr="007B2079">
      <w:rPr>
        <w:sz w:val="24"/>
        <w:szCs w:val="24"/>
      </w:rPr>
      <w:fldChar w:fldCharType="begin"/>
    </w:r>
    <w:r w:rsidRPr="007B2079">
      <w:rPr>
        <w:sz w:val="24"/>
        <w:szCs w:val="24"/>
      </w:rPr>
      <w:instrText xml:space="preserve"> PAGE   \* MERGEFORMAT </w:instrText>
    </w:r>
    <w:r w:rsidRPr="007B2079">
      <w:rPr>
        <w:sz w:val="24"/>
        <w:szCs w:val="24"/>
      </w:rPr>
      <w:fldChar w:fldCharType="separate"/>
    </w:r>
    <w:r w:rsidRPr="007B2079">
      <w:rPr>
        <w:noProof/>
        <w:sz w:val="24"/>
        <w:szCs w:val="24"/>
      </w:rPr>
      <w:t>2</w:t>
    </w:r>
    <w:r w:rsidRPr="007B2079">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64D2" w14:textId="77777777" w:rsidR="003A4056" w:rsidRDefault="003A4056" w:rsidP="007B2079">
      <w:r>
        <w:separator/>
      </w:r>
    </w:p>
  </w:footnote>
  <w:footnote w:type="continuationSeparator" w:id="0">
    <w:p w14:paraId="442E0E8E" w14:textId="77777777" w:rsidR="003A4056" w:rsidRDefault="003A4056" w:rsidP="007B2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44"/>
    <w:rsid w:val="00006369"/>
    <w:rsid w:val="000076C2"/>
    <w:rsid w:val="000240E0"/>
    <w:rsid w:val="000256C3"/>
    <w:rsid w:val="00054CA0"/>
    <w:rsid w:val="00063A6E"/>
    <w:rsid w:val="000770C0"/>
    <w:rsid w:val="0008028B"/>
    <w:rsid w:val="00092A08"/>
    <w:rsid w:val="00095991"/>
    <w:rsid w:val="000A526F"/>
    <w:rsid w:val="000A6DA5"/>
    <w:rsid w:val="000A7FF7"/>
    <w:rsid w:val="000E64CD"/>
    <w:rsid w:val="00143B2B"/>
    <w:rsid w:val="0014416D"/>
    <w:rsid w:val="0014519D"/>
    <w:rsid w:val="00153500"/>
    <w:rsid w:val="0017242B"/>
    <w:rsid w:val="001C0357"/>
    <w:rsid w:val="001C33E1"/>
    <w:rsid w:val="001D0891"/>
    <w:rsid w:val="00237DAE"/>
    <w:rsid w:val="00267DE2"/>
    <w:rsid w:val="00270BD4"/>
    <w:rsid w:val="00281E73"/>
    <w:rsid w:val="00284ADB"/>
    <w:rsid w:val="002872BA"/>
    <w:rsid w:val="00292E84"/>
    <w:rsid w:val="002A2614"/>
    <w:rsid w:val="002A3921"/>
    <w:rsid w:val="002A5039"/>
    <w:rsid w:val="002B205F"/>
    <w:rsid w:val="002B7016"/>
    <w:rsid w:val="002D2B13"/>
    <w:rsid w:val="002E4D1D"/>
    <w:rsid w:val="00316ECF"/>
    <w:rsid w:val="00323FEB"/>
    <w:rsid w:val="003243FE"/>
    <w:rsid w:val="00331C19"/>
    <w:rsid w:val="00335019"/>
    <w:rsid w:val="0033611D"/>
    <w:rsid w:val="00340241"/>
    <w:rsid w:val="00340F65"/>
    <w:rsid w:val="00342A7A"/>
    <w:rsid w:val="00373E35"/>
    <w:rsid w:val="003A4056"/>
    <w:rsid w:val="003B51FB"/>
    <w:rsid w:val="003B5DAA"/>
    <w:rsid w:val="003C2F5D"/>
    <w:rsid w:val="003E7534"/>
    <w:rsid w:val="00402B4E"/>
    <w:rsid w:val="0041280F"/>
    <w:rsid w:val="00415972"/>
    <w:rsid w:val="00421972"/>
    <w:rsid w:val="00423061"/>
    <w:rsid w:val="00426AD7"/>
    <w:rsid w:val="004275C0"/>
    <w:rsid w:val="00431E1C"/>
    <w:rsid w:val="00454AD8"/>
    <w:rsid w:val="00472C9F"/>
    <w:rsid w:val="004761EC"/>
    <w:rsid w:val="004B07BB"/>
    <w:rsid w:val="004B3AE8"/>
    <w:rsid w:val="004B6C10"/>
    <w:rsid w:val="004E0708"/>
    <w:rsid w:val="004E4440"/>
    <w:rsid w:val="004F7FA1"/>
    <w:rsid w:val="00502873"/>
    <w:rsid w:val="00505B4E"/>
    <w:rsid w:val="005170D6"/>
    <w:rsid w:val="00524D3E"/>
    <w:rsid w:val="005440A2"/>
    <w:rsid w:val="00550267"/>
    <w:rsid w:val="005525B0"/>
    <w:rsid w:val="00552A57"/>
    <w:rsid w:val="00554F4D"/>
    <w:rsid w:val="005611E8"/>
    <w:rsid w:val="005745BC"/>
    <w:rsid w:val="00581889"/>
    <w:rsid w:val="00592800"/>
    <w:rsid w:val="005A647B"/>
    <w:rsid w:val="005B0694"/>
    <w:rsid w:val="005B7CFE"/>
    <w:rsid w:val="005B7FF9"/>
    <w:rsid w:val="005C7B40"/>
    <w:rsid w:val="005F01C0"/>
    <w:rsid w:val="00604112"/>
    <w:rsid w:val="006063B4"/>
    <w:rsid w:val="00615B68"/>
    <w:rsid w:val="00633217"/>
    <w:rsid w:val="006403F4"/>
    <w:rsid w:val="0065072E"/>
    <w:rsid w:val="00661872"/>
    <w:rsid w:val="00664215"/>
    <w:rsid w:val="00665EE6"/>
    <w:rsid w:val="00672F8A"/>
    <w:rsid w:val="006832CE"/>
    <w:rsid w:val="006958BF"/>
    <w:rsid w:val="006B04BE"/>
    <w:rsid w:val="006B4AEB"/>
    <w:rsid w:val="006C77B0"/>
    <w:rsid w:val="006E63D3"/>
    <w:rsid w:val="006F7F2B"/>
    <w:rsid w:val="00707CD5"/>
    <w:rsid w:val="007254A8"/>
    <w:rsid w:val="007300B8"/>
    <w:rsid w:val="00732DE4"/>
    <w:rsid w:val="007337CF"/>
    <w:rsid w:val="00734887"/>
    <w:rsid w:val="00736ECB"/>
    <w:rsid w:val="00742531"/>
    <w:rsid w:val="00747C43"/>
    <w:rsid w:val="00756557"/>
    <w:rsid w:val="007821F4"/>
    <w:rsid w:val="00787B3A"/>
    <w:rsid w:val="007975D6"/>
    <w:rsid w:val="007B2079"/>
    <w:rsid w:val="007C0924"/>
    <w:rsid w:val="007C69A3"/>
    <w:rsid w:val="007C6F4D"/>
    <w:rsid w:val="007D432C"/>
    <w:rsid w:val="007D4890"/>
    <w:rsid w:val="007E0AD8"/>
    <w:rsid w:val="007E0F8C"/>
    <w:rsid w:val="007E7265"/>
    <w:rsid w:val="007F4EF0"/>
    <w:rsid w:val="0080183E"/>
    <w:rsid w:val="00814BB9"/>
    <w:rsid w:val="008156BD"/>
    <w:rsid w:val="00821AE1"/>
    <w:rsid w:val="008760C0"/>
    <w:rsid w:val="00882FE2"/>
    <w:rsid w:val="008F263F"/>
    <w:rsid w:val="00915D1E"/>
    <w:rsid w:val="0093465D"/>
    <w:rsid w:val="00936FA2"/>
    <w:rsid w:val="009405AB"/>
    <w:rsid w:val="00961798"/>
    <w:rsid w:val="009619A7"/>
    <w:rsid w:val="00965683"/>
    <w:rsid w:val="009863C0"/>
    <w:rsid w:val="00996C24"/>
    <w:rsid w:val="009B2256"/>
    <w:rsid w:val="009E05D1"/>
    <w:rsid w:val="00A34B82"/>
    <w:rsid w:val="00A410C0"/>
    <w:rsid w:val="00A70E28"/>
    <w:rsid w:val="00A858D6"/>
    <w:rsid w:val="00AA2DB0"/>
    <w:rsid w:val="00AC0649"/>
    <w:rsid w:val="00AD211D"/>
    <w:rsid w:val="00AD708D"/>
    <w:rsid w:val="00AE723F"/>
    <w:rsid w:val="00AF2FEE"/>
    <w:rsid w:val="00B1034B"/>
    <w:rsid w:val="00B40E6A"/>
    <w:rsid w:val="00B65639"/>
    <w:rsid w:val="00B8470E"/>
    <w:rsid w:val="00B858DE"/>
    <w:rsid w:val="00BB2D93"/>
    <w:rsid w:val="00BD4A4A"/>
    <w:rsid w:val="00BF35EA"/>
    <w:rsid w:val="00C040A9"/>
    <w:rsid w:val="00C35C41"/>
    <w:rsid w:val="00C627B5"/>
    <w:rsid w:val="00C84622"/>
    <w:rsid w:val="00C858AC"/>
    <w:rsid w:val="00CA108A"/>
    <w:rsid w:val="00CA5D33"/>
    <w:rsid w:val="00CB3889"/>
    <w:rsid w:val="00CC6326"/>
    <w:rsid w:val="00CF69E8"/>
    <w:rsid w:val="00D15944"/>
    <w:rsid w:val="00D30E31"/>
    <w:rsid w:val="00D86909"/>
    <w:rsid w:val="00D940FE"/>
    <w:rsid w:val="00D96BE2"/>
    <w:rsid w:val="00DA1256"/>
    <w:rsid w:val="00DA2928"/>
    <w:rsid w:val="00DB0AA2"/>
    <w:rsid w:val="00DB27C7"/>
    <w:rsid w:val="00DB2E94"/>
    <w:rsid w:val="00DC3D55"/>
    <w:rsid w:val="00DF66AD"/>
    <w:rsid w:val="00E00BE5"/>
    <w:rsid w:val="00E034E1"/>
    <w:rsid w:val="00E5114B"/>
    <w:rsid w:val="00E70F72"/>
    <w:rsid w:val="00E74772"/>
    <w:rsid w:val="00E74851"/>
    <w:rsid w:val="00E925F8"/>
    <w:rsid w:val="00EB41C0"/>
    <w:rsid w:val="00EC1024"/>
    <w:rsid w:val="00EC7D3B"/>
    <w:rsid w:val="00ED10B8"/>
    <w:rsid w:val="00F339F2"/>
    <w:rsid w:val="00F3593A"/>
    <w:rsid w:val="00F60219"/>
    <w:rsid w:val="00F71D82"/>
    <w:rsid w:val="00F83124"/>
    <w:rsid w:val="00F91629"/>
    <w:rsid w:val="00FB2C41"/>
    <w:rsid w:val="00FC6B0C"/>
    <w:rsid w:val="00FF0F4A"/>
    <w:rsid w:val="00FF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9D586"/>
  <w15:chartTrackingRefBased/>
  <w15:docId w15:val="{57365BD4-9AC3-4565-9CFA-27BCC8B7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079"/>
    <w:pPr>
      <w:spacing w:after="240" w:line="480" w:lineRule="auto"/>
      <w:ind w:firstLine="720"/>
      <w:jc w:val="both"/>
    </w:pPr>
    <w:rPr>
      <w:rFonts w:ascii="Arial" w:eastAsia="Times New Roman" w:hAnsi="Arial" w:cs="Arial"/>
      <w:sz w:val="28"/>
      <w:szCs w:val="28"/>
    </w:rPr>
  </w:style>
  <w:style w:type="paragraph" w:styleId="Heading1">
    <w:name w:val="heading 1"/>
    <w:basedOn w:val="Normal"/>
    <w:next w:val="Normal"/>
    <w:link w:val="Heading1Char"/>
    <w:uiPriority w:val="9"/>
    <w:qFormat/>
    <w:rsid w:val="007B2079"/>
    <w:pPr>
      <w:ind w:firstLine="0"/>
      <w:jc w:val="left"/>
      <w:outlineLvl w:val="0"/>
    </w:pPr>
    <w:rPr>
      <w:rFonts w:eastAsia="MS Mincho"/>
      <w:b/>
    </w:rPr>
  </w:style>
  <w:style w:type="paragraph" w:styleId="Heading2">
    <w:name w:val="heading 2"/>
    <w:basedOn w:val="Heading1"/>
    <w:next w:val="Normal"/>
    <w:link w:val="Heading2Char"/>
    <w:uiPriority w:val="9"/>
    <w:unhideWhenUsed/>
    <w:qFormat/>
    <w:rsid w:val="00965683"/>
    <w:pPr>
      <w:ind w:firstLine="720"/>
      <w:outlineLvl w:val="1"/>
    </w:pPr>
  </w:style>
  <w:style w:type="paragraph" w:styleId="Heading3">
    <w:name w:val="heading 3"/>
    <w:basedOn w:val="Heading2"/>
    <w:next w:val="Normal"/>
    <w:link w:val="Heading3Char"/>
    <w:uiPriority w:val="9"/>
    <w:unhideWhenUsed/>
    <w:qFormat/>
    <w:rsid w:val="00965683"/>
    <w:pPr>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15944"/>
    <w:rPr>
      <w:sz w:val="16"/>
      <w:szCs w:val="16"/>
    </w:rPr>
  </w:style>
  <w:style w:type="paragraph" w:styleId="CommentText">
    <w:name w:val="annotation text"/>
    <w:basedOn w:val="Normal"/>
    <w:link w:val="CommentTextChar"/>
    <w:uiPriority w:val="99"/>
    <w:unhideWhenUsed/>
    <w:rsid w:val="00D15944"/>
    <w:rPr>
      <w:sz w:val="20"/>
      <w:szCs w:val="20"/>
    </w:rPr>
  </w:style>
  <w:style w:type="character" w:customStyle="1" w:styleId="CommentTextChar">
    <w:name w:val="Comment Text Char"/>
    <w:basedOn w:val="DefaultParagraphFont"/>
    <w:link w:val="CommentText"/>
    <w:uiPriority w:val="99"/>
    <w:rsid w:val="00D15944"/>
  </w:style>
  <w:style w:type="paragraph" w:styleId="CommentSubject">
    <w:name w:val="annotation subject"/>
    <w:basedOn w:val="CommentText"/>
    <w:next w:val="CommentText"/>
    <w:link w:val="CommentSubjectChar"/>
    <w:uiPriority w:val="99"/>
    <w:semiHidden/>
    <w:unhideWhenUsed/>
    <w:rsid w:val="00D15944"/>
    <w:rPr>
      <w:b/>
      <w:bCs/>
    </w:rPr>
  </w:style>
  <w:style w:type="character" w:customStyle="1" w:styleId="CommentSubjectChar">
    <w:name w:val="Comment Subject Char"/>
    <w:link w:val="CommentSubject"/>
    <w:uiPriority w:val="99"/>
    <w:semiHidden/>
    <w:rsid w:val="00D15944"/>
    <w:rPr>
      <w:b/>
      <w:bCs/>
    </w:rPr>
  </w:style>
  <w:style w:type="paragraph" w:styleId="BalloonText">
    <w:name w:val="Balloon Text"/>
    <w:basedOn w:val="Normal"/>
    <w:link w:val="BalloonTextChar"/>
    <w:uiPriority w:val="99"/>
    <w:semiHidden/>
    <w:unhideWhenUsed/>
    <w:rsid w:val="00D1594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15944"/>
    <w:rPr>
      <w:rFonts w:ascii="Segoe UI" w:hAnsi="Segoe UI" w:cs="Segoe UI"/>
      <w:sz w:val="18"/>
      <w:szCs w:val="18"/>
    </w:rPr>
  </w:style>
  <w:style w:type="paragraph" w:styleId="Header">
    <w:name w:val="header"/>
    <w:basedOn w:val="Normal"/>
    <w:link w:val="HeaderChar"/>
    <w:uiPriority w:val="99"/>
    <w:unhideWhenUsed/>
    <w:rsid w:val="00D15944"/>
    <w:pPr>
      <w:tabs>
        <w:tab w:val="center" w:pos="4680"/>
        <w:tab w:val="right" w:pos="9360"/>
      </w:tabs>
    </w:pPr>
  </w:style>
  <w:style w:type="character" w:customStyle="1" w:styleId="HeaderChar">
    <w:name w:val="Header Char"/>
    <w:link w:val="Header"/>
    <w:uiPriority w:val="99"/>
    <w:rsid w:val="00D15944"/>
    <w:rPr>
      <w:sz w:val="22"/>
      <w:szCs w:val="22"/>
    </w:rPr>
  </w:style>
  <w:style w:type="paragraph" w:styleId="Footer">
    <w:name w:val="footer"/>
    <w:basedOn w:val="Normal"/>
    <w:link w:val="FooterChar"/>
    <w:uiPriority w:val="99"/>
    <w:unhideWhenUsed/>
    <w:rsid w:val="00D15944"/>
    <w:pPr>
      <w:tabs>
        <w:tab w:val="center" w:pos="4680"/>
        <w:tab w:val="right" w:pos="9360"/>
      </w:tabs>
    </w:pPr>
  </w:style>
  <w:style w:type="character" w:customStyle="1" w:styleId="FooterChar">
    <w:name w:val="Footer Char"/>
    <w:link w:val="Footer"/>
    <w:uiPriority w:val="99"/>
    <w:rsid w:val="00D15944"/>
    <w:rPr>
      <w:sz w:val="22"/>
      <w:szCs w:val="22"/>
    </w:rPr>
  </w:style>
  <w:style w:type="paragraph" w:styleId="FootnoteText">
    <w:name w:val="footnote text"/>
    <w:basedOn w:val="Normal"/>
    <w:link w:val="FootnoteTextChar"/>
    <w:uiPriority w:val="99"/>
    <w:semiHidden/>
    <w:unhideWhenUsed/>
    <w:rsid w:val="008F263F"/>
    <w:rPr>
      <w:sz w:val="20"/>
      <w:szCs w:val="20"/>
    </w:rPr>
  </w:style>
  <w:style w:type="character" w:customStyle="1" w:styleId="FootnoteTextChar">
    <w:name w:val="Footnote Text Char"/>
    <w:basedOn w:val="DefaultParagraphFont"/>
    <w:link w:val="FootnoteText"/>
    <w:uiPriority w:val="99"/>
    <w:semiHidden/>
    <w:rsid w:val="008F263F"/>
  </w:style>
  <w:style w:type="character" w:styleId="FootnoteReference">
    <w:name w:val="footnote reference"/>
    <w:uiPriority w:val="99"/>
    <w:semiHidden/>
    <w:unhideWhenUsed/>
    <w:rsid w:val="008F263F"/>
    <w:rPr>
      <w:vertAlign w:val="superscript"/>
    </w:rPr>
  </w:style>
  <w:style w:type="character" w:customStyle="1" w:styleId="Heading1Char">
    <w:name w:val="Heading 1 Char"/>
    <w:link w:val="Heading1"/>
    <w:uiPriority w:val="9"/>
    <w:rsid w:val="007B2079"/>
    <w:rPr>
      <w:rFonts w:ascii="Arial" w:eastAsia="MS Mincho" w:hAnsi="Arial" w:cs="Arial"/>
      <w:b/>
      <w:sz w:val="28"/>
      <w:szCs w:val="28"/>
    </w:rPr>
  </w:style>
  <w:style w:type="character" w:customStyle="1" w:styleId="Heading2Char">
    <w:name w:val="Heading 2 Char"/>
    <w:link w:val="Heading2"/>
    <w:uiPriority w:val="9"/>
    <w:rsid w:val="00965683"/>
    <w:rPr>
      <w:rFonts w:ascii="Arial" w:eastAsia="MS Mincho" w:hAnsi="Arial" w:cs="Arial"/>
      <w:b/>
      <w:sz w:val="28"/>
      <w:szCs w:val="28"/>
    </w:rPr>
  </w:style>
  <w:style w:type="character" w:customStyle="1" w:styleId="Heading3Char">
    <w:name w:val="Heading 3 Char"/>
    <w:basedOn w:val="DefaultParagraphFont"/>
    <w:link w:val="Heading3"/>
    <w:uiPriority w:val="9"/>
    <w:rsid w:val="00965683"/>
    <w:rPr>
      <w:rFonts w:ascii="Arial" w:eastAsia="MS Mincho" w:hAnsi="Arial" w:cs="Arial"/>
      <w:b/>
      <w:sz w:val="28"/>
      <w:szCs w:val="28"/>
    </w:rPr>
  </w:style>
  <w:style w:type="paragraph" w:styleId="NormalWeb">
    <w:name w:val="Normal (Web)"/>
    <w:basedOn w:val="Normal"/>
    <w:uiPriority w:val="99"/>
    <w:unhideWhenUsed/>
    <w:rsid w:val="006C77B0"/>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9863C0"/>
    <w:rPr>
      <w:sz w:val="22"/>
      <w:szCs w:val="22"/>
    </w:rPr>
  </w:style>
  <w:style w:type="paragraph" w:styleId="Quote">
    <w:name w:val="Quote"/>
    <w:basedOn w:val="Normal"/>
    <w:next w:val="Normal"/>
    <w:link w:val="QuoteChar"/>
    <w:uiPriority w:val="29"/>
    <w:qFormat/>
    <w:rsid w:val="007B2079"/>
    <w:pPr>
      <w:spacing w:line="360" w:lineRule="auto"/>
      <w:ind w:left="720" w:right="720" w:firstLine="0"/>
    </w:pPr>
  </w:style>
  <w:style w:type="character" w:customStyle="1" w:styleId="QuoteChar">
    <w:name w:val="Quote Char"/>
    <w:basedOn w:val="DefaultParagraphFont"/>
    <w:link w:val="Quote"/>
    <w:uiPriority w:val="29"/>
    <w:rsid w:val="007B2079"/>
    <w:rPr>
      <w:rFonts w:ascii="Arial" w:eastAsia="Times New Roman"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32823">
      <w:bodyDiv w:val="1"/>
      <w:marLeft w:val="0"/>
      <w:marRight w:val="0"/>
      <w:marTop w:val="0"/>
      <w:marBottom w:val="0"/>
      <w:divBdr>
        <w:top w:val="none" w:sz="0" w:space="0" w:color="auto"/>
        <w:left w:val="none" w:sz="0" w:space="0" w:color="auto"/>
        <w:bottom w:val="none" w:sz="0" w:space="0" w:color="auto"/>
        <w:right w:val="none" w:sz="0" w:space="0" w:color="auto"/>
      </w:divBdr>
    </w:div>
    <w:div w:id="1185947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7C7D8-6A68-4078-A221-76B3D0E3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1063</TotalTime>
  <Pages>7</Pages>
  <Words>1662</Words>
  <Characters>8312</Characters>
  <Application>Microsoft Office Word</Application>
  <DocSecurity>0</DocSecurity>
  <Lines>180</Lines>
  <Paragraphs>60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Bardwell</dc:creator>
  <cp:keywords/>
  <cp:lastModifiedBy>Michael Bardwell</cp:lastModifiedBy>
  <cp:revision>7</cp:revision>
  <cp:lastPrinted>2025-05-28T16:06:00Z</cp:lastPrinted>
  <dcterms:created xsi:type="dcterms:W3CDTF">2026-04-07T23:06:00Z</dcterms:created>
  <dcterms:modified xsi:type="dcterms:W3CDTF">2026-04-08T16:50:00Z</dcterms:modified>
</cp:coreProperties>
</file>